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7CA589" w14:textId="77777777" w:rsidR="0041717D" w:rsidRDefault="0041717D" w:rsidP="00252865">
      <w:pPr>
        <w:jc w:val="center"/>
      </w:pPr>
    </w:p>
    <w:p w14:paraId="43C68E73" w14:textId="77777777" w:rsidR="0041717D" w:rsidRDefault="0041717D" w:rsidP="00252865">
      <w:pPr>
        <w:jc w:val="center"/>
      </w:pPr>
    </w:p>
    <w:p w14:paraId="79124135" w14:textId="00E7481F" w:rsidR="00E31456" w:rsidRDefault="00252865" w:rsidP="00252865">
      <w:pPr>
        <w:jc w:val="center"/>
      </w:pPr>
      <w:r>
        <w:t>Table of Contents</w:t>
      </w:r>
    </w:p>
    <w:p w14:paraId="3EBA24B6" w14:textId="77777777" w:rsidR="006378EF" w:rsidRDefault="006378EF" w:rsidP="00252865">
      <w:pPr>
        <w:jc w:val="center"/>
      </w:pPr>
    </w:p>
    <w:p w14:paraId="048DA9A9" w14:textId="77777777" w:rsidR="00252865" w:rsidRDefault="00252865" w:rsidP="00252865">
      <w:pPr>
        <w:jc w:val="center"/>
        <w:rPr>
          <w:u w:val="single"/>
        </w:rPr>
      </w:pPr>
    </w:p>
    <w:p w14:paraId="6761094E" w14:textId="5BA03C14" w:rsidR="00E22B34" w:rsidRDefault="006378EF" w:rsidP="006378EF">
      <w:r w:rsidRPr="006378EF">
        <w:t>Section §1202 Stock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7786DC7E" w14:textId="319215F2" w:rsidR="006378EF" w:rsidRDefault="006378EF" w:rsidP="006378EF">
      <w:pPr>
        <w:ind w:firstLine="720"/>
      </w:pPr>
      <w:r w:rsidRPr="006378EF">
        <w:t>What is §1202 Stock?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6B7F983A" w14:textId="543C8A4A" w:rsidR="006378EF" w:rsidRDefault="006378EF" w:rsidP="006378EF">
      <w:r>
        <w:tab/>
      </w:r>
    </w:p>
    <w:p w14:paraId="78F60189" w14:textId="4C60AF51" w:rsidR="006378EF" w:rsidRDefault="006378EF" w:rsidP="006378EF">
      <w:pPr>
        <w:ind w:firstLine="720"/>
      </w:pPr>
      <w:r w:rsidRPr="006378EF">
        <w:t>Qualification Criteria for the §1202 Exclusion</w:t>
      </w:r>
      <w:r>
        <w:tab/>
      </w:r>
      <w:r>
        <w:tab/>
      </w:r>
      <w:r>
        <w:tab/>
      </w:r>
      <w:r>
        <w:tab/>
      </w:r>
      <w:r>
        <w:tab/>
        <w:t>1</w:t>
      </w:r>
    </w:p>
    <w:p w14:paraId="0B4D6AC0" w14:textId="34329E6D" w:rsidR="006378EF" w:rsidRDefault="006378EF" w:rsidP="006378EF">
      <w:pPr>
        <w:ind w:left="720" w:firstLine="720"/>
      </w:pPr>
      <w:r w:rsidRPr="006378EF">
        <w:t>The Issuing Entity Must Be a Domestic C Corporation</w:t>
      </w:r>
      <w:r>
        <w:tab/>
      </w:r>
      <w:r>
        <w:tab/>
      </w:r>
      <w:r>
        <w:tab/>
        <w:t>1</w:t>
      </w:r>
    </w:p>
    <w:p w14:paraId="2DA292D5" w14:textId="14F499EF" w:rsidR="006378EF" w:rsidRDefault="006378EF" w:rsidP="006378EF">
      <w:pPr>
        <w:ind w:left="720" w:firstLine="720"/>
      </w:pPr>
      <w:r w:rsidRPr="006378EF">
        <w:t>Case Law — Leto v. United States — The LLC Conversion Trap</w:t>
      </w:r>
      <w:r>
        <w:tab/>
      </w:r>
      <w:r>
        <w:tab/>
        <w:t>1</w:t>
      </w:r>
    </w:p>
    <w:p w14:paraId="52A1F385" w14:textId="06C2339B" w:rsidR="006378EF" w:rsidRDefault="006378EF" w:rsidP="006378EF">
      <w:pPr>
        <w:ind w:left="720" w:firstLine="720"/>
      </w:pPr>
      <w:r w:rsidRPr="006378EF">
        <w:t xml:space="preserve">Aggregate Gross Assets — The $75 Million Threshold </w:t>
      </w:r>
      <w:r>
        <w:tab/>
      </w:r>
      <w:r>
        <w:tab/>
      </w:r>
      <w:r>
        <w:tab/>
        <w:t>2</w:t>
      </w:r>
    </w:p>
    <w:p w14:paraId="4BCA86FB" w14:textId="3401A49B" w:rsidR="006378EF" w:rsidRDefault="006378EF" w:rsidP="006378EF">
      <w:pPr>
        <w:ind w:left="720" w:firstLine="720"/>
      </w:pPr>
      <w:r w:rsidRPr="006378EF">
        <w:t>Case Law — Ju v. United States — Documentation Is Everything</w:t>
      </w:r>
      <w:r>
        <w:tab/>
      </w:r>
      <w:r>
        <w:tab/>
        <w:t>2</w:t>
      </w:r>
    </w:p>
    <w:p w14:paraId="38641869" w14:textId="70A46B32" w:rsidR="006378EF" w:rsidRDefault="006378EF" w:rsidP="006378EF">
      <w:pPr>
        <w:ind w:left="720" w:firstLine="720"/>
      </w:pPr>
      <w:r w:rsidRPr="006378EF">
        <w:t>Original Issuance Requirement</w:t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211C0194" w14:textId="5A8CBC78" w:rsidR="006378EF" w:rsidRDefault="006378EF" w:rsidP="006378EF">
      <w:pPr>
        <w:ind w:left="720" w:firstLine="720"/>
      </w:pPr>
      <w:r w:rsidRPr="006378EF">
        <w:t>Example — Services as Consideration</w:t>
      </w:r>
      <w:r>
        <w:tab/>
      </w:r>
      <w:r>
        <w:tab/>
      </w:r>
      <w:r>
        <w:tab/>
      </w:r>
      <w:r>
        <w:tab/>
      </w:r>
      <w:r>
        <w:tab/>
        <w:t>3</w:t>
      </w:r>
    </w:p>
    <w:p w14:paraId="4D0687D0" w14:textId="5AFF178D" w:rsidR="006378EF" w:rsidRDefault="006378EF" w:rsidP="006378EF">
      <w:pPr>
        <w:ind w:left="720" w:firstLine="720"/>
      </w:pPr>
      <w:r w:rsidRPr="006378EF">
        <w:t>The Active Business Requirement — 80% Test</w:t>
      </w:r>
      <w:r>
        <w:tab/>
      </w:r>
      <w:r>
        <w:tab/>
      </w:r>
      <w:r>
        <w:tab/>
      </w:r>
      <w:r>
        <w:tab/>
        <w:t>3</w:t>
      </w:r>
    </w:p>
    <w:p w14:paraId="72F89DF2" w14:textId="2AD84622" w:rsidR="006378EF" w:rsidRDefault="006378EF" w:rsidP="006378EF">
      <w:pPr>
        <w:ind w:left="720" w:firstLine="720"/>
      </w:pPr>
      <w:r w:rsidRPr="006378EF">
        <w:t>Disqualified Businesses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23AEAD3A" w14:textId="520CDA02" w:rsidR="006378EF" w:rsidRDefault="006378EF" w:rsidP="006378EF">
      <w:pPr>
        <w:ind w:left="720" w:firstLine="720"/>
      </w:pPr>
      <w:r w:rsidRPr="006378EF">
        <w:t>Example — The ‘Reputation or Skill’ Trap for Consulting Firms</w:t>
      </w:r>
      <w:r>
        <w:tab/>
      </w:r>
      <w:r>
        <w:tab/>
        <w:t>4</w:t>
      </w:r>
    </w:p>
    <w:p w14:paraId="74C9BF7D" w14:textId="77777777" w:rsidR="006378EF" w:rsidRDefault="006378EF" w:rsidP="006378EF"/>
    <w:p w14:paraId="4D3C8838" w14:textId="01A02E2E" w:rsidR="006378EF" w:rsidRDefault="006378EF" w:rsidP="006378EF">
      <w:pPr>
        <w:ind w:firstLine="720"/>
      </w:pPr>
      <w:r w:rsidRPr="006378EF">
        <w:t>Tax Benefits Under §1202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362B85B6" w14:textId="627A83FF" w:rsidR="006378EF" w:rsidRDefault="006378EF" w:rsidP="006378EF">
      <w:pPr>
        <w:ind w:left="720" w:firstLine="720"/>
      </w:pPr>
      <w:r w:rsidRPr="006378EF">
        <w:t>Exclusion Percentages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16D65840" w14:textId="093E4D11" w:rsidR="006378EF" w:rsidRDefault="006378EF" w:rsidP="006378EF">
      <w:pPr>
        <w:ind w:left="720" w:firstLine="720"/>
      </w:pPr>
      <w:r w:rsidRPr="006378EF">
        <w:t>Example — Tiered Exclusion — Four-Year Hold (Post-OBBBA)</w:t>
      </w:r>
      <w:r>
        <w:tab/>
      </w:r>
      <w:r>
        <w:tab/>
        <w:t>5</w:t>
      </w:r>
    </w:p>
    <w:p w14:paraId="6998F023" w14:textId="2000578C" w:rsidR="006378EF" w:rsidRDefault="006378EF" w:rsidP="006378EF">
      <w:pPr>
        <w:ind w:left="720" w:firstLine="720"/>
      </w:pPr>
      <w:r w:rsidRPr="006378EF">
        <w:t>Per-Issuer Dollar Limitation — $15 Million (Post-OBBBA)</w:t>
      </w:r>
      <w:r>
        <w:tab/>
      </w:r>
      <w:r>
        <w:tab/>
      </w:r>
      <w:r>
        <w:tab/>
        <w:t>5</w:t>
      </w:r>
    </w:p>
    <w:p w14:paraId="4038F373" w14:textId="410A87AC" w:rsidR="006378EF" w:rsidRDefault="006378EF" w:rsidP="006378EF">
      <w:pPr>
        <w:ind w:left="720" w:firstLine="720"/>
      </w:pPr>
      <w:r w:rsidRPr="006378EF">
        <w:t>Example — The 10x Basis Limit as the Binding Constraint</w:t>
      </w:r>
      <w:r>
        <w:tab/>
      </w:r>
      <w:r>
        <w:tab/>
      </w:r>
      <w:r>
        <w:tab/>
        <w:t>6</w:t>
      </w:r>
    </w:p>
    <w:p w14:paraId="45518F7F" w14:textId="1E9A74DB" w:rsidR="006378EF" w:rsidRDefault="006378EF" w:rsidP="006378EF">
      <w:pPr>
        <w:ind w:left="720" w:firstLine="720"/>
      </w:pPr>
      <w:r w:rsidRPr="006378EF">
        <w:t>Example — Pre- vs. Post-Enactment QSBS — Mixed Blocks</w:t>
      </w:r>
      <w:r>
        <w:tab/>
      </w:r>
      <w:r>
        <w:tab/>
        <w:t>6</w:t>
      </w:r>
    </w:p>
    <w:p w14:paraId="5C3516C7" w14:textId="3E639896" w:rsidR="006378EF" w:rsidRDefault="006378EF" w:rsidP="006378EF">
      <w:pPr>
        <w:ind w:left="720" w:firstLine="720"/>
      </w:pPr>
      <w:r w:rsidRPr="006378EF">
        <w:t>AMT Treatment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</w:t>
      </w:r>
    </w:p>
    <w:p w14:paraId="22DF72E3" w14:textId="77777777" w:rsidR="006378EF" w:rsidRDefault="006378EF" w:rsidP="006378EF"/>
    <w:p w14:paraId="52D3B65E" w14:textId="58F433D0" w:rsidR="006378EF" w:rsidRDefault="006378EF" w:rsidP="006378EF">
      <w:pPr>
        <w:ind w:firstLine="720"/>
      </w:pPr>
      <w:r w:rsidRPr="006378EF">
        <w:t xml:space="preserve">OBBBA Changes — Effective July 4, </w:t>
      </w:r>
      <w:proofErr w:type="gramStart"/>
      <w:r w:rsidRPr="006378EF">
        <w:t>2025</w:t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14:paraId="303588DC" w14:textId="0188C63E" w:rsidR="006378EF" w:rsidRDefault="006378EF" w:rsidP="006378EF">
      <w:pPr>
        <w:ind w:left="720" w:firstLine="720"/>
      </w:pPr>
      <w:r w:rsidRPr="006378EF">
        <w:t>Tacking and Transition Period Rules</w:t>
      </w:r>
      <w:r>
        <w:tab/>
      </w:r>
      <w:r>
        <w:tab/>
      </w:r>
      <w:r>
        <w:tab/>
      </w:r>
      <w:r>
        <w:tab/>
      </w:r>
      <w:r>
        <w:tab/>
      </w:r>
      <w:r>
        <w:tab/>
        <w:t>8</w:t>
      </w:r>
    </w:p>
    <w:p w14:paraId="1BD44A42" w14:textId="77777777" w:rsidR="006378EF" w:rsidRDefault="006378EF" w:rsidP="006378EF"/>
    <w:p w14:paraId="17356701" w14:textId="027FF819" w:rsidR="006378EF" w:rsidRDefault="006378EF" w:rsidP="006378EF">
      <w:pPr>
        <w:ind w:firstLine="720"/>
      </w:pPr>
      <w:r w:rsidRPr="006378EF">
        <w:t>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14:paraId="5974034E" w14:textId="77777777" w:rsidR="006378EF" w:rsidRDefault="006378EF" w:rsidP="006378EF">
      <w:pPr>
        <w:ind w:firstLine="720"/>
      </w:pPr>
    </w:p>
    <w:p w14:paraId="36AFE00D" w14:textId="53B2E42B" w:rsidR="006378EF" w:rsidRDefault="006378EF" w:rsidP="006378EF">
      <w:pPr>
        <w:ind w:firstLine="720"/>
      </w:pPr>
      <w:r w:rsidRPr="006378EF">
        <w:t>State Tax Conformity — The Other Shoe</w:t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14:paraId="332E6D80" w14:textId="0CEED9DA" w:rsidR="006378EF" w:rsidRDefault="006378EF" w:rsidP="006378EF">
      <w:pPr>
        <w:ind w:left="720" w:firstLine="720"/>
      </w:pPr>
      <w:r w:rsidRPr="006378EF">
        <w:t>Example — California vs. Texas — The $2 Million Difference</w:t>
      </w:r>
      <w:r>
        <w:tab/>
      </w:r>
      <w:r>
        <w:tab/>
        <w:t>10</w:t>
      </w:r>
    </w:p>
    <w:p w14:paraId="1C2D9554" w14:textId="052FE31F" w:rsidR="006378EF" w:rsidRDefault="006378EF" w:rsidP="006378EF">
      <w:pPr>
        <w:ind w:left="720"/>
      </w:pPr>
      <w:r>
        <w:br/>
      </w:r>
      <w:r w:rsidRPr="006378EF">
        <w:t>QSBS Qualification Checklist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</w:t>
      </w:r>
    </w:p>
    <w:p w14:paraId="4F8AE240" w14:textId="77777777" w:rsidR="006378EF" w:rsidRDefault="006378EF" w:rsidP="006378EF">
      <w:pPr>
        <w:ind w:left="720"/>
      </w:pPr>
    </w:p>
    <w:p w14:paraId="64A30357" w14:textId="3EF59399" w:rsidR="006378EF" w:rsidRDefault="006378EF" w:rsidP="006378EF">
      <w:pPr>
        <w:ind w:left="720"/>
      </w:pPr>
      <w:r w:rsidRPr="006378EF">
        <w:t>Extended Planning Examples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14</w:t>
      </w:r>
    </w:p>
    <w:p w14:paraId="2D65B4C8" w14:textId="37163B4F" w:rsidR="006378EF" w:rsidRDefault="006378EF" w:rsidP="006378EF">
      <w:pPr>
        <w:ind w:left="720" w:firstLine="720"/>
      </w:pPr>
      <w:r w:rsidRPr="006378EF">
        <w:t>The $15M Cap, the 10x Limit, and Multiple Investors in One Round</w:t>
      </w:r>
      <w:r>
        <w:tab/>
        <w:t>14</w:t>
      </w:r>
    </w:p>
    <w:p w14:paraId="4CC6BC99" w14:textId="7781EF4E" w:rsidR="006378EF" w:rsidRDefault="006378EF" w:rsidP="006378EF">
      <w:pPr>
        <w:ind w:left="720" w:firstLine="720"/>
      </w:pPr>
      <w:r w:rsidRPr="006378EF">
        <w:t>Section 1045 Rollover — Keeping the Clock Running</w:t>
      </w:r>
      <w:r>
        <w:tab/>
      </w:r>
      <w:r>
        <w:tab/>
      </w:r>
      <w:r>
        <w:tab/>
        <w:t>14</w:t>
      </w:r>
    </w:p>
    <w:p w14:paraId="2CB4A4B8" w14:textId="2DE18D26" w:rsidR="006378EF" w:rsidRDefault="006378EF" w:rsidP="006378EF">
      <w:pPr>
        <w:ind w:left="720" w:firstLine="720"/>
      </w:pPr>
      <w:r w:rsidRPr="006378EF">
        <w:t>Case Law — Rauenhorst v. Commissione</w:t>
      </w:r>
      <w:r>
        <w:t>r</w:t>
      </w:r>
      <w:r>
        <w:tab/>
      </w:r>
      <w:r>
        <w:tab/>
      </w:r>
      <w:r>
        <w:tab/>
      </w:r>
      <w:r>
        <w:tab/>
      </w:r>
      <w:r>
        <w:tab/>
        <w:t>14</w:t>
      </w:r>
    </w:p>
    <w:p w14:paraId="6FCE9E72" w14:textId="77777777" w:rsidR="006378EF" w:rsidRDefault="006378EF" w:rsidP="006378EF"/>
    <w:p w14:paraId="222FCCA6" w14:textId="77777777" w:rsidR="006378EF" w:rsidRDefault="006378EF" w:rsidP="006378EF"/>
    <w:p w14:paraId="656987EA" w14:textId="6340F028" w:rsidR="006378EF" w:rsidRDefault="006378EF" w:rsidP="006378EF">
      <w:r w:rsidRPr="006378EF">
        <w:t>Section 1244 Stock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</w:p>
    <w:p w14:paraId="3082A465" w14:textId="56682F10" w:rsidR="006378EF" w:rsidRDefault="006378EF" w:rsidP="006378EF">
      <w:pPr>
        <w:ind w:firstLine="720"/>
      </w:pPr>
      <w:r w:rsidRPr="006378EF">
        <w:t>Overview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</w:p>
    <w:p w14:paraId="05C90B02" w14:textId="0836DDF4" w:rsidR="006378EF" w:rsidRDefault="006378EF" w:rsidP="006378EF">
      <w:pPr>
        <w:ind w:firstLine="720"/>
      </w:pPr>
      <w:r w:rsidRPr="006378EF">
        <w:t>No Election Required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</w:p>
    <w:p w14:paraId="24AC70D6" w14:textId="77777777" w:rsidR="006378EF" w:rsidRDefault="006378EF" w:rsidP="006378EF">
      <w:pPr>
        <w:ind w:firstLine="720"/>
      </w:pPr>
    </w:p>
    <w:p w14:paraId="22B8F02B" w14:textId="3AF3590F" w:rsidR="006378EF" w:rsidRDefault="006378EF" w:rsidP="006378EF">
      <w:pPr>
        <w:ind w:firstLine="720"/>
      </w:pPr>
      <w:r w:rsidRPr="006378EF">
        <w:t>What Is §1244 Stock</w:t>
      </w:r>
      <w:r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</w:t>
      </w:r>
    </w:p>
    <w:p w14:paraId="4F33D742" w14:textId="53931FBB" w:rsidR="006378EF" w:rsidRDefault="006378EF" w:rsidP="006378EF">
      <w:pPr>
        <w:ind w:left="720" w:firstLine="720"/>
      </w:pPr>
      <w:r w:rsidRPr="006378EF">
        <w:t>Property Contributions and the FMV Limitation</w:t>
      </w:r>
      <w:r>
        <w:tab/>
      </w:r>
      <w:r>
        <w:tab/>
      </w:r>
      <w:r>
        <w:tab/>
      </w:r>
      <w:r>
        <w:tab/>
        <w:t>16</w:t>
      </w:r>
    </w:p>
    <w:p w14:paraId="69B73E40" w14:textId="1DE22C07" w:rsidR="006378EF" w:rsidRDefault="006378EF" w:rsidP="006378EF">
      <w:pPr>
        <w:ind w:left="720" w:firstLine="720"/>
      </w:pPr>
      <w:r w:rsidRPr="006378EF">
        <w:t>Example — Property Contribution with Built-In Loss</w:t>
      </w:r>
      <w:r>
        <w:tab/>
      </w:r>
      <w:r>
        <w:tab/>
      </w:r>
      <w:r>
        <w:tab/>
      </w:r>
      <w:r>
        <w:tab/>
        <w:t>16</w:t>
      </w:r>
    </w:p>
    <w:p w14:paraId="4245F354" w14:textId="77777777" w:rsidR="006378EF" w:rsidRDefault="006378EF" w:rsidP="006378EF"/>
    <w:p w14:paraId="341CF1CD" w14:textId="1AAAD2E5" w:rsidR="006378EF" w:rsidRDefault="006378EF" w:rsidP="006378EF">
      <w:pPr>
        <w:ind w:firstLine="720"/>
      </w:pPr>
      <w:r w:rsidRPr="006378EF">
        <w:lastRenderedPageBreak/>
        <w:t>Qualifying Criteria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30385097" w14:textId="0CFF6F08" w:rsidR="006378EF" w:rsidRDefault="006378EF" w:rsidP="006378EF">
      <w:pPr>
        <w:ind w:left="720" w:firstLine="720"/>
      </w:pPr>
      <w:r w:rsidRPr="006378EF">
        <w:t>Domestic Corporation — C or S</w:t>
      </w:r>
      <w:r>
        <w:tab/>
      </w:r>
      <w:r>
        <w:tab/>
      </w:r>
      <w:r>
        <w:tab/>
      </w:r>
      <w:r>
        <w:tab/>
      </w:r>
      <w:r>
        <w:tab/>
      </w:r>
      <w:r>
        <w:tab/>
        <w:t>17</w:t>
      </w:r>
    </w:p>
    <w:p w14:paraId="19FB3435" w14:textId="5469F5F6" w:rsidR="006378EF" w:rsidRDefault="006378EF" w:rsidP="006378EF">
      <w:pPr>
        <w:ind w:left="720" w:firstLine="720"/>
      </w:pPr>
      <w:r w:rsidRPr="006378EF">
        <w:t>Rath v. Commissioner, 101 T.C. 196 (1993) — The S Corporation Wall</w:t>
      </w:r>
      <w:r>
        <w:tab/>
        <w:t>17</w:t>
      </w:r>
    </w:p>
    <w:p w14:paraId="2BFE5CCB" w14:textId="3EC0D75A" w:rsidR="006378EF" w:rsidRDefault="006378EF" w:rsidP="006378EF">
      <w:pPr>
        <w:ind w:left="720" w:firstLine="720"/>
      </w:pPr>
      <w:r w:rsidRPr="006378EF">
        <w:t>Small Business Corporation — The $1,000,000 Capital Limit</w:t>
      </w:r>
      <w:r>
        <w:tab/>
      </w:r>
      <w:r>
        <w:tab/>
        <w:t>17</w:t>
      </w:r>
    </w:p>
    <w:p w14:paraId="22406437" w14:textId="77777777" w:rsidR="006378EF" w:rsidRDefault="006378EF" w:rsidP="006378EF">
      <w:pPr>
        <w:ind w:left="720" w:firstLine="720"/>
      </w:pPr>
      <w:r w:rsidRPr="006378EF">
        <w:t>Ushio v. Commissioner, T.C. Summ. Op. 2021-27</w:t>
      </w:r>
      <w:r>
        <w:tab/>
      </w:r>
      <w:r>
        <w:tab/>
      </w:r>
      <w:r>
        <w:tab/>
      </w:r>
      <w:r>
        <w:tab/>
        <w:t>18</w:t>
      </w:r>
    </w:p>
    <w:p w14:paraId="424A3BA8" w14:textId="77777777" w:rsidR="006378EF" w:rsidRDefault="006378EF" w:rsidP="006378EF">
      <w:pPr>
        <w:ind w:left="720" w:firstLine="720"/>
      </w:pPr>
      <w:r w:rsidRPr="006378EF">
        <w:t>Active Business Requirement — The 50% Gross Receipts Test</w:t>
      </w:r>
      <w:r>
        <w:tab/>
      </w:r>
      <w:r>
        <w:tab/>
        <w:t>18</w:t>
      </w:r>
    </w:p>
    <w:p w14:paraId="1068969E" w14:textId="77777777" w:rsidR="006378EF" w:rsidRDefault="006378EF" w:rsidP="006378EF">
      <w:pPr>
        <w:ind w:left="720" w:firstLine="720"/>
      </w:pPr>
      <w:r w:rsidRPr="006378EF">
        <w:t>The Heger Trap — Stock Issued in Anticipation of Dissolution</w:t>
      </w:r>
      <w:r>
        <w:tab/>
      </w:r>
      <w:r>
        <w:tab/>
        <w:t>19</w:t>
      </w:r>
    </w:p>
    <w:p w14:paraId="1EA8DB80" w14:textId="77777777" w:rsidR="006378EF" w:rsidRDefault="006378EF" w:rsidP="006378EF">
      <w:pPr>
        <w:ind w:left="720" w:firstLine="720"/>
      </w:pPr>
      <w:r w:rsidRPr="006378EF">
        <w:t>Original Issuance for Cash or Property</w:t>
      </w:r>
      <w:r>
        <w:tab/>
      </w:r>
      <w:r>
        <w:tab/>
      </w:r>
      <w:r>
        <w:tab/>
      </w:r>
      <w:r>
        <w:tab/>
      </w:r>
      <w:r>
        <w:tab/>
        <w:t>19</w:t>
      </w:r>
    </w:p>
    <w:p w14:paraId="14D980D9" w14:textId="77777777" w:rsidR="006378EF" w:rsidRDefault="006378EF" w:rsidP="006378EF">
      <w:pPr>
        <w:ind w:left="720" w:firstLine="720"/>
      </w:pPr>
      <w:r w:rsidRPr="006378EF">
        <w:t>Example — Services vs. Cash — The Founder’s Choice</w:t>
      </w:r>
      <w:r>
        <w:tab/>
      </w:r>
      <w:r>
        <w:tab/>
      </w:r>
      <w:r>
        <w:tab/>
        <w:t>20</w:t>
      </w:r>
    </w:p>
    <w:p w14:paraId="33B43658" w14:textId="77777777" w:rsidR="006378EF" w:rsidRDefault="006378EF" w:rsidP="006378EF">
      <w:pPr>
        <w:ind w:left="720" w:firstLine="720"/>
      </w:pPr>
      <w:r w:rsidRPr="006378EF">
        <w:t>SAFE Notes, Convertible Notes, and the Issuance Timing Problem</w:t>
      </w:r>
      <w:r>
        <w:tab/>
      </w:r>
      <w:r>
        <w:tab/>
        <w:t>20</w:t>
      </w:r>
    </w:p>
    <w:p w14:paraId="3E0610E0" w14:textId="77777777" w:rsidR="006378EF" w:rsidRDefault="006378EF" w:rsidP="006378EF"/>
    <w:p w14:paraId="69F3826E" w14:textId="1C662F01" w:rsidR="006378EF" w:rsidRDefault="006378EF" w:rsidP="006378EF">
      <w:pPr>
        <w:ind w:firstLine="720"/>
      </w:pPr>
      <w:r w:rsidRPr="006378EF">
        <w:t>Tax Benefits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</w:p>
    <w:p w14:paraId="280F6258" w14:textId="540BBD2F" w:rsidR="006378EF" w:rsidRDefault="006378EF" w:rsidP="006378EF">
      <w:pPr>
        <w:ind w:left="720" w:firstLine="720"/>
      </w:pPr>
      <w:r w:rsidRPr="006378EF">
        <w:t>Annual Ordinary Loss Limit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</w:t>
      </w:r>
    </w:p>
    <w:p w14:paraId="108EF559" w14:textId="357AEF62" w:rsidR="006378EF" w:rsidRDefault="006378EF" w:rsidP="006378EF">
      <w:pPr>
        <w:ind w:left="720" w:firstLine="720"/>
      </w:pPr>
      <w:r w:rsidRPr="006378EF">
        <w:t>Interaction with Net Operating Losses</w:t>
      </w:r>
      <w:r>
        <w:tab/>
      </w:r>
      <w:r>
        <w:tab/>
      </w:r>
      <w:r>
        <w:tab/>
      </w:r>
      <w:r>
        <w:tab/>
      </w:r>
      <w:r>
        <w:tab/>
        <w:t>21</w:t>
      </w:r>
    </w:p>
    <w:p w14:paraId="17EF34F2" w14:textId="4F96A5E0" w:rsidR="006378EF" w:rsidRDefault="006378EF" w:rsidP="006378EF">
      <w:pPr>
        <w:ind w:left="720" w:firstLine="720"/>
      </w:pPr>
      <w:r w:rsidRPr="006378EF">
        <w:t>Comparison to Capital Loss Treatment</w:t>
      </w:r>
      <w:r>
        <w:tab/>
      </w:r>
      <w:r>
        <w:tab/>
      </w:r>
      <w:r>
        <w:tab/>
      </w:r>
      <w:r>
        <w:tab/>
      </w:r>
      <w:r>
        <w:tab/>
        <w:t>22</w:t>
      </w:r>
    </w:p>
    <w:p w14:paraId="2E03A621" w14:textId="77777777" w:rsidR="006378EF" w:rsidRDefault="006378EF" w:rsidP="006378EF"/>
    <w:p w14:paraId="3F67A040" w14:textId="4D8F5B27" w:rsidR="006378EF" w:rsidRDefault="006378EF" w:rsidP="006378EF">
      <w:pPr>
        <w:ind w:firstLine="720"/>
      </w:pPr>
      <w:r w:rsidRPr="006378EF">
        <w:t>Basis Increase Rules and the Non-§1244 Taint</w:t>
      </w:r>
      <w:r>
        <w:tab/>
      </w:r>
      <w:r>
        <w:tab/>
      </w:r>
      <w:r>
        <w:tab/>
      </w:r>
      <w:r>
        <w:tab/>
      </w:r>
      <w:r>
        <w:tab/>
        <w:t>22</w:t>
      </w:r>
    </w:p>
    <w:p w14:paraId="570446C7" w14:textId="1D59606C" w:rsidR="006378EF" w:rsidRDefault="006378EF" w:rsidP="006378EF">
      <w:pPr>
        <w:ind w:left="720" w:firstLine="720"/>
      </w:pPr>
      <w:r w:rsidRPr="006378EF">
        <w:t>Example — Basis Increase — The Bifurcated Loss</w:t>
      </w:r>
      <w:r>
        <w:tab/>
      </w:r>
      <w:r>
        <w:tab/>
      </w:r>
      <w:r>
        <w:tab/>
      </w:r>
      <w:r>
        <w:tab/>
        <w:t>22</w:t>
      </w:r>
    </w:p>
    <w:p w14:paraId="680D3175" w14:textId="206A408A" w:rsidR="006378EF" w:rsidRDefault="006378EF" w:rsidP="006378EF">
      <w:pPr>
        <w:ind w:left="720" w:firstLine="720"/>
      </w:pPr>
      <w:r w:rsidRPr="006378EF">
        <w:t>Form 4797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</w:t>
      </w:r>
    </w:p>
    <w:p w14:paraId="0EEF3401" w14:textId="77777777" w:rsidR="006378EF" w:rsidRDefault="006378EF" w:rsidP="006378EF"/>
    <w:p w14:paraId="756CFC58" w14:textId="3E9CD9BB" w:rsidR="006378EF" w:rsidRDefault="006378EF" w:rsidP="006378EF">
      <w:pPr>
        <w:ind w:firstLine="720"/>
      </w:pPr>
      <w:r w:rsidRPr="006378EF">
        <w:t>Reporting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</w:p>
    <w:p w14:paraId="64709902" w14:textId="70359BE1" w:rsidR="006378EF" w:rsidRDefault="006378EF" w:rsidP="006378EF">
      <w:pPr>
        <w:ind w:left="720" w:firstLine="720"/>
      </w:pPr>
      <w:r w:rsidRPr="006378EF">
        <w:t>Form 4797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</w:p>
    <w:p w14:paraId="3B50BED7" w14:textId="7478CA62" w:rsidR="006378EF" w:rsidRDefault="006378EF" w:rsidP="006378EF">
      <w:pPr>
        <w:ind w:left="720" w:firstLine="720"/>
      </w:pPr>
      <w:r w:rsidRPr="006378EF">
        <w:t>Recordkeeping Requirements</w:t>
      </w:r>
      <w:r>
        <w:tab/>
      </w:r>
      <w:r>
        <w:tab/>
      </w:r>
      <w:r>
        <w:tab/>
      </w:r>
      <w:r>
        <w:tab/>
      </w:r>
      <w:r>
        <w:tab/>
      </w:r>
      <w:r>
        <w:tab/>
        <w:t>24</w:t>
      </w:r>
    </w:p>
    <w:p w14:paraId="64C58DAC" w14:textId="77777777" w:rsidR="006378EF" w:rsidRDefault="006378EF" w:rsidP="006378EF"/>
    <w:p w14:paraId="617A5B47" w14:textId="333A6F22" w:rsidR="006378EF" w:rsidRDefault="006378EF" w:rsidP="006378EF">
      <w:pPr>
        <w:ind w:firstLine="720"/>
      </w:pPr>
      <w:r w:rsidRPr="006378EF">
        <w:t>Partnership Ownership of §1244 Stock</w:t>
      </w:r>
      <w:r>
        <w:tab/>
      </w:r>
      <w:r>
        <w:tab/>
      </w:r>
      <w:r>
        <w:tab/>
      </w:r>
      <w:r>
        <w:tab/>
      </w:r>
      <w:r>
        <w:tab/>
      </w:r>
      <w:r>
        <w:tab/>
        <w:t>25</w:t>
      </w:r>
    </w:p>
    <w:p w14:paraId="490B8975" w14:textId="5B4A39B7" w:rsidR="006378EF" w:rsidRDefault="006378EF" w:rsidP="006378EF">
      <w:pPr>
        <w:ind w:left="720" w:firstLine="720"/>
      </w:pPr>
      <w:r w:rsidRPr="006378EF">
        <w:t>Example — Partnership with Mixed Partners</w:t>
      </w:r>
      <w:r>
        <w:tab/>
      </w:r>
      <w:r>
        <w:tab/>
      </w:r>
      <w:r>
        <w:tab/>
      </w:r>
      <w:r>
        <w:tab/>
      </w:r>
      <w:r>
        <w:tab/>
        <w:t>25</w:t>
      </w:r>
    </w:p>
    <w:p w14:paraId="73F5E4E6" w14:textId="77777777" w:rsidR="006378EF" w:rsidRDefault="006378EF" w:rsidP="006378EF"/>
    <w:p w14:paraId="34D5ACEC" w14:textId="3F885893" w:rsidR="006378EF" w:rsidRDefault="006378EF" w:rsidP="006378EF">
      <w:pPr>
        <w:ind w:firstLine="720"/>
      </w:pPr>
      <w:r w:rsidRPr="006378EF">
        <w:t>Coordination with §1202 QSBS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</w:t>
      </w:r>
    </w:p>
    <w:p w14:paraId="59661796" w14:textId="77777777" w:rsidR="006378EF" w:rsidRDefault="006378EF" w:rsidP="006378EF">
      <w:pPr>
        <w:ind w:firstLine="720"/>
      </w:pPr>
    </w:p>
    <w:p w14:paraId="72ABF1F5" w14:textId="48E2EEA1" w:rsidR="006378EF" w:rsidRDefault="006378EF" w:rsidP="006378EF">
      <w:pPr>
        <w:ind w:firstLine="720"/>
      </w:pPr>
      <w:r w:rsidRPr="006378EF">
        <w:t>Planning Guide for Practitioners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26</w:t>
      </w:r>
    </w:p>
    <w:p w14:paraId="4ACC1515" w14:textId="7DBCC2A4" w:rsidR="006378EF" w:rsidRDefault="006378EF" w:rsidP="006378EF">
      <w:pPr>
        <w:ind w:left="720" w:firstLine="720"/>
      </w:pPr>
      <w:r w:rsidRPr="006378EF">
        <w:t>At Investment — Pre-Issuance Checklist</w:t>
      </w:r>
      <w:r>
        <w:tab/>
      </w:r>
      <w:r>
        <w:tab/>
      </w:r>
      <w:r>
        <w:tab/>
      </w:r>
      <w:r>
        <w:tab/>
      </w:r>
      <w:r>
        <w:tab/>
        <w:t>26</w:t>
      </w:r>
    </w:p>
    <w:p w14:paraId="5DFA8470" w14:textId="4305A910" w:rsidR="006378EF" w:rsidRDefault="006378EF" w:rsidP="006378EF">
      <w:pPr>
        <w:ind w:left="720" w:firstLine="720"/>
      </w:pPr>
      <w:r w:rsidRPr="006378EF">
        <w:t>Annual — Ongoing Monitoring</w:t>
      </w:r>
      <w:r>
        <w:tab/>
      </w:r>
      <w:r>
        <w:tab/>
      </w:r>
      <w:r>
        <w:tab/>
      </w:r>
      <w:r>
        <w:tab/>
      </w:r>
      <w:r>
        <w:tab/>
      </w:r>
      <w:r>
        <w:tab/>
        <w:t>27</w:t>
      </w:r>
    </w:p>
    <w:p w14:paraId="16EFEFF7" w14:textId="104BD0BF" w:rsidR="006378EF" w:rsidRDefault="006378EF" w:rsidP="006378EF">
      <w:pPr>
        <w:ind w:left="720" w:firstLine="720"/>
      </w:pPr>
      <w:r w:rsidRPr="006378EF">
        <w:t>At Loss Event — Year of Sale or Worthlessness</w:t>
      </w:r>
      <w:r>
        <w:tab/>
      </w:r>
      <w:r>
        <w:tab/>
      </w:r>
      <w:r>
        <w:tab/>
      </w:r>
      <w:r>
        <w:tab/>
        <w:t>27</w:t>
      </w:r>
    </w:p>
    <w:p w14:paraId="0EAF92C1" w14:textId="08ED9997" w:rsidR="006378EF" w:rsidRDefault="006378EF" w:rsidP="006378EF">
      <w:pPr>
        <w:ind w:left="720" w:firstLine="720"/>
      </w:pPr>
      <w:r w:rsidRPr="006378EF">
        <w:t>Example — Full Planning Scenario — Angel Investor with Mixed Portfolio</w:t>
      </w:r>
      <w:r>
        <w:tab/>
        <w:t>27</w:t>
      </w:r>
    </w:p>
    <w:p w14:paraId="47008989" w14:textId="77777777" w:rsidR="006378EF" w:rsidRDefault="006378EF" w:rsidP="006378EF"/>
    <w:p w14:paraId="47AAEFCA" w14:textId="1B1D69B6" w:rsidR="006378EF" w:rsidRPr="0039787C" w:rsidRDefault="006378EF" w:rsidP="006378EF">
      <w:pPr>
        <w:ind w:firstLine="720"/>
      </w:pPr>
      <w:r w:rsidRPr="006378EF">
        <w:t>Section 1244 Qualification Checklist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28</w:t>
      </w:r>
    </w:p>
    <w:p w14:paraId="04E672F5" w14:textId="78354F92" w:rsidR="006378EF" w:rsidRPr="0039787C" w:rsidRDefault="006378EF" w:rsidP="006378EF">
      <w:pPr>
        <w:ind w:left="720" w:firstLine="720"/>
      </w:pPr>
    </w:p>
    <w:sectPr w:rsidR="006378EF" w:rsidRPr="0039787C" w:rsidSect="0025286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5D6D84" w14:textId="77777777" w:rsidR="00A83359" w:rsidRDefault="00A83359" w:rsidP="00252865">
      <w:r>
        <w:separator/>
      </w:r>
    </w:p>
  </w:endnote>
  <w:endnote w:type="continuationSeparator" w:id="0">
    <w:p w14:paraId="6C53C3B5" w14:textId="77777777" w:rsidR="00A83359" w:rsidRDefault="00A83359" w:rsidP="00252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32C87E" w14:textId="7E918172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Table of Contents</w:t>
    </w:r>
  </w:p>
  <w:p w14:paraId="6948B05B" w14:textId="75EE780B" w:rsidR="00252865" w:rsidRPr="00252865" w:rsidRDefault="00252865" w:rsidP="00252865">
    <w:pPr>
      <w:pStyle w:val="Footer"/>
      <w:jc w:val="right"/>
      <w:rPr>
        <w:sz w:val="20"/>
        <w:szCs w:val="20"/>
      </w:rPr>
    </w:pPr>
    <w:r w:rsidRPr="00252865">
      <w:rPr>
        <w:sz w:val="20"/>
        <w:szCs w:val="20"/>
      </w:rPr>
      <w:t>Copyright © 202</w:t>
    </w:r>
    <w:r w:rsidR="001B79D6">
      <w:rPr>
        <w:sz w:val="20"/>
        <w:szCs w:val="20"/>
      </w:rPr>
      <w:t>6,</w:t>
    </w:r>
    <w:r w:rsidRPr="00252865">
      <w:rPr>
        <w:sz w:val="20"/>
        <w:szCs w:val="20"/>
      </w:rPr>
      <w:t xml:space="preserve"> Jennings Advisory Group, LLC </w:t>
    </w:r>
    <w:r w:rsidRPr="00252865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D3B00BD" wp14:editId="57D5FFDA">
          <wp:simplePos x="0" y="0"/>
          <wp:positionH relativeFrom="column">
            <wp:posOffset>125153</wp:posOffset>
          </wp:positionH>
          <wp:positionV relativeFrom="paragraph">
            <wp:posOffset>-115570</wp:posOffset>
          </wp:positionV>
          <wp:extent cx="1440873" cy="294024"/>
          <wp:effectExtent l="0" t="0" r="0" b="0"/>
          <wp:wrapNone/>
          <wp:docPr id="604599517" name="Picture 1" descr="A purpl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599517" name="Picture 1" descr="A purpl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873" cy="294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F885C5" w14:textId="77777777" w:rsidR="00A83359" w:rsidRDefault="00A83359" w:rsidP="00252865">
      <w:r>
        <w:separator/>
      </w:r>
    </w:p>
  </w:footnote>
  <w:footnote w:type="continuationSeparator" w:id="0">
    <w:p w14:paraId="1099D4C2" w14:textId="77777777" w:rsidR="00A83359" w:rsidRDefault="00A83359" w:rsidP="00252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520CA" w14:textId="76BEFDDD" w:rsidR="00252865" w:rsidRPr="00252865" w:rsidRDefault="006378EF" w:rsidP="00907862">
    <w:pPr>
      <w:pStyle w:val="Header"/>
      <w:jc w:val="right"/>
    </w:pPr>
    <w:r>
      <w:t>2026 Unlocking Tax Millions- Part 2: Sec 1202 &amp; 1244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mirrorMargin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865"/>
    <w:rsid w:val="00040B8D"/>
    <w:rsid w:val="001A4AE2"/>
    <w:rsid w:val="001B79D6"/>
    <w:rsid w:val="001F6E92"/>
    <w:rsid w:val="00252865"/>
    <w:rsid w:val="0028127F"/>
    <w:rsid w:val="002C610B"/>
    <w:rsid w:val="002E3422"/>
    <w:rsid w:val="0039787C"/>
    <w:rsid w:val="003B3E45"/>
    <w:rsid w:val="0041717D"/>
    <w:rsid w:val="0052283E"/>
    <w:rsid w:val="005B0E17"/>
    <w:rsid w:val="005F1E15"/>
    <w:rsid w:val="006378EF"/>
    <w:rsid w:val="0064379A"/>
    <w:rsid w:val="00656315"/>
    <w:rsid w:val="006B07FE"/>
    <w:rsid w:val="0077729A"/>
    <w:rsid w:val="007965CA"/>
    <w:rsid w:val="007D0EEA"/>
    <w:rsid w:val="00822D29"/>
    <w:rsid w:val="00837004"/>
    <w:rsid w:val="00907862"/>
    <w:rsid w:val="00974F7A"/>
    <w:rsid w:val="00A41F87"/>
    <w:rsid w:val="00A83359"/>
    <w:rsid w:val="00AD2332"/>
    <w:rsid w:val="00B47119"/>
    <w:rsid w:val="00D10D86"/>
    <w:rsid w:val="00D10E9D"/>
    <w:rsid w:val="00E22B34"/>
    <w:rsid w:val="00E25E48"/>
    <w:rsid w:val="00E31456"/>
    <w:rsid w:val="00F2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7E41B"/>
  <w15:chartTrackingRefBased/>
  <w15:docId w15:val="{8FEC548D-0F20-9F49-B060-B18D2F68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86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86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86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86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86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86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86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86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86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86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86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86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86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86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86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86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865"/>
  </w:style>
  <w:style w:type="paragraph" w:styleId="Footer">
    <w:name w:val="footer"/>
    <w:basedOn w:val="Normal"/>
    <w:link w:val="FooterChar"/>
    <w:uiPriority w:val="99"/>
    <w:unhideWhenUsed/>
    <w:rsid w:val="002528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8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497</Words>
  <Characters>2487</Characters>
  <Application>Microsoft Office Word</Application>
  <DocSecurity>0</DocSecurity>
  <Lines>829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Jennings</dc:creator>
  <cp:keywords/>
  <dc:description/>
  <cp:lastModifiedBy>Casey Jennings</cp:lastModifiedBy>
  <cp:revision>2</cp:revision>
  <dcterms:created xsi:type="dcterms:W3CDTF">2026-07-27T22:56:00Z</dcterms:created>
  <dcterms:modified xsi:type="dcterms:W3CDTF">2026-07-27T22:56:00Z</dcterms:modified>
</cp:coreProperties>
</file>